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center"/>
        <w:rPr>
          <w:rFonts w:ascii="Times New Roman" w:hAnsi="Times New Roman" w:cs="Times New Roman"/>
          <w:b/>
          <w:bCs/>
          <w:sz w:val="24"/>
          <w:szCs w:val="24"/>
        </w:rPr>
      </w:pPr>
      <w:r w:rsidRPr="00F15544">
        <w:rPr>
          <w:rFonts w:ascii="Times New Roman" w:hAnsi="Times New Roman" w:cs="Times New Roman"/>
          <w:b/>
          <w:bCs/>
          <w:sz w:val="24"/>
          <w:szCs w:val="24"/>
        </w:rPr>
        <w:t>ТОМСКАЯ ОБЛАСТЬ</w:t>
      </w:r>
    </w:p>
    <w:p w:rsidR="00F15544" w:rsidRPr="00F15544" w:rsidRDefault="00F15544" w:rsidP="00F15544">
      <w:pPr>
        <w:spacing w:after="0"/>
        <w:jc w:val="center"/>
        <w:rPr>
          <w:rFonts w:ascii="Times New Roman" w:hAnsi="Times New Roman" w:cs="Times New Roman"/>
          <w:b/>
          <w:bCs/>
          <w:sz w:val="24"/>
          <w:szCs w:val="24"/>
        </w:rPr>
      </w:pPr>
    </w:p>
    <w:p w:rsidR="00F15544" w:rsidRPr="00F15544" w:rsidRDefault="00F15544" w:rsidP="00F15544">
      <w:pPr>
        <w:spacing w:after="0"/>
        <w:jc w:val="center"/>
        <w:rPr>
          <w:rFonts w:ascii="Times New Roman" w:hAnsi="Times New Roman" w:cs="Times New Roman"/>
          <w:b/>
          <w:bCs/>
          <w:sz w:val="24"/>
          <w:szCs w:val="24"/>
        </w:rPr>
      </w:pPr>
      <w:r w:rsidRPr="00F15544">
        <w:rPr>
          <w:rFonts w:ascii="Times New Roman" w:hAnsi="Times New Roman" w:cs="Times New Roman"/>
          <w:b/>
          <w:bCs/>
          <w:sz w:val="24"/>
          <w:szCs w:val="24"/>
        </w:rPr>
        <w:t>ЗАКОН</w:t>
      </w:r>
    </w:p>
    <w:p w:rsidR="00F15544" w:rsidRPr="00F15544" w:rsidRDefault="00F15544" w:rsidP="00F15544">
      <w:pPr>
        <w:spacing w:after="0"/>
        <w:jc w:val="center"/>
        <w:rPr>
          <w:rFonts w:ascii="Times New Roman" w:hAnsi="Times New Roman" w:cs="Times New Roman"/>
          <w:b/>
          <w:bCs/>
          <w:sz w:val="24"/>
          <w:szCs w:val="24"/>
        </w:rPr>
      </w:pPr>
    </w:p>
    <w:p w:rsidR="00F15544" w:rsidRPr="00F15544" w:rsidRDefault="00F15544" w:rsidP="00F15544">
      <w:pPr>
        <w:spacing w:after="0"/>
        <w:jc w:val="center"/>
        <w:rPr>
          <w:rFonts w:ascii="Times New Roman" w:hAnsi="Times New Roman" w:cs="Times New Roman"/>
          <w:b/>
          <w:bCs/>
          <w:sz w:val="24"/>
          <w:szCs w:val="24"/>
        </w:rPr>
      </w:pPr>
      <w:r w:rsidRPr="00F15544">
        <w:rPr>
          <w:rFonts w:ascii="Times New Roman" w:hAnsi="Times New Roman" w:cs="Times New Roman"/>
          <w:b/>
          <w:bCs/>
          <w:sz w:val="24"/>
          <w:szCs w:val="24"/>
        </w:rPr>
        <w:t>О ПРЕДОСТАВЛЕНИИ ДОПОЛНИТЕЛЬНЫХ НАЛОГОВЫХ ЛЬГОТ</w:t>
      </w:r>
    </w:p>
    <w:p w:rsidR="00F15544" w:rsidRPr="00F15544" w:rsidRDefault="00F15544" w:rsidP="00F15544">
      <w:pPr>
        <w:spacing w:after="0"/>
        <w:jc w:val="center"/>
        <w:rPr>
          <w:rFonts w:ascii="Times New Roman" w:hAnsi="Times New Roman" w:cs="Times New Roman"/>
          <w:b/>
          <w:bCs/>
          <w:sz w:val="24"/>
          <w:szCs w:val="24"/>
        </w:rPr>
      </w:pPr>
      <w:r w:rsidRPr="00F15544">
        <w:rPr>
          <w:rFonts w:ascii="Times New Roman" w:hAnsi="Times New Roman" w:cs="Times New Roman"/>
          <w:b/>
          <w:bCs/>
          <w:sz w:val="24"/>
          <w:szCs w:val="24"/>
        </w:rPr>
        <w:t>ОРГАНИЗАЦИЯМ, ОСУЩЕСТВЛЯЮЩИМ ИНВЕСТИЦИОННУЮ</w:t>
      </w:r>
    </w:p>
    <w:p w:rsidR="00F15544" w:rsidRPr="00F15544" w:rsidRDefault="00F15544" w:rsidP="00F15544">
      <w:pPr>
        <w:spacing w:after="0"/>
        <w:jc w:val="center"/>
        <w:rPr>
          <w:rFonts w:ascii="Times New Roman" w:hAnsi="Times New Roman" w:cs="Times New Roman"/>
          <w:b/>
          <w:bCs/>
          <w:sz w:val="24"/>
          <w:szCs w:val="24"/>
        </w:rPr>
      </w:pPr>
      <w:r w:rsidRPr="00F15544">
        <w:rPr>
          <w:rFonts w:ascii="Times New Roman" w:hAnsi="Times New Roman" w:cs="Times New Roman"/>
          <w:b/>
          <w:bCs/>
          <w:sz w:val="24"/>
          <w:szCs w:val="24"/>
        </w:rPr>
        <w:t>ДЕЯТЕЛЬНОСТЬ НА ТЕРРИТОРИИ ТОМСКОЙ ОБЛАСТИ</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Принят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постановлением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Государственной Думы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Томской области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от 27.02.2003 N 510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F15544" w:rsidRPr="00F15544" w:rsidTr="00F15544">
        <w:trPr>
          <w:tblCellSpacing w:w="15" w:type="dxa"/>
        </w:trPr>
        <w:tc>
          <w:tcPr>
            <w:tcW w:w="0" w:type="auto"/>
            <w:shd w:val="clear" w:color="auto" w:fill="F4F3F8"/>
            <w:vAlign w:val="center"/>
            <w:hideMark/>
          </w:tcPr>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Список изменяющих документов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(в ред. Законов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09.10.2003 N 132-ОЗ, от 15.10.2004 N 226-ОЗ, от 10.07.2007 N 131-ОЗ,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14.04.2014 N 48-ОЗ, от 13.11.2017 N 123-ОЗ, от 10.09.2018 N 98-ОЗ,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06.05.2019 N 39-ОЗ, от 08.12.2020 N 153-ОЗ, от 13.07.2021 N 51-ОЗ,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12.07.2023 N 55-ОЗ, от 07.04.2025 N 31-ОЗ, от 26.12.2025 N 151-ОЗ,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04.06.2026 N 72-ОЗ,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с изм., внесенными Законами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от 12.01.2004 N 4-ОЗ, от 14.01.2005 N 12-ОЗ, от 30.12.2005 N 252-ОЗ) </w:t>
            </w:r>
          </w:p>
        </w:tc>
      </w:tr>
    </w:tbl>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Настоящий Закон разработан в соответствии с Налоговым кодексом Российской Федерации, Уставом (Основным Законом) Томской области, Законом Томской области от 10 ноября 2025 года N 106-ОЗ "Об инвестиционной политике и государственной поддержке инвестиционной деятельности в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b/>
          <w:bCs/>
          <w:sz w:val="24"/>
          <w:szCs w:val="24"/>
        </w:rPr>
        <w:t>Статья 1. Сфера действия Закона</w:t>
      </w: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Действие настоящего Закона распространяется на отношения, связанные с предоставлением дополнительных льгот по налогам, которые в соответствии с федеральными законами и законами Томской области полностью или частично зачисляются в областной бюджет, организациям, осуществляющим инвестиционную деятельность (далее - субъекты инвестиционной деятельности) в соответствии с Законом Томской области от 10 ноября 2025 года N 106-ОЗ "Об инвестиционной политике и государственной поддержке инвестиционной деятельности в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b/>
          <w:bCs/>
          <w:sz w:val="24"/>
          <w:szCs w:val="24"/>
        </w:rPr>
        <w:t>Статья 2. Перечень предоставляемых дополнительных налоговых льгот</w:t>
      </w: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1 - 2. Утратили силу. - Закон Томской области от 08.12.2020 N 153-ОЗ.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3. Субъекты инвестиционной деятельности, осуществляющие инвестиционную деятельность в соответствии с инвестиционным проектом (кроме субъектов инвестиционной деятельности, указанных в пунктах 3-1, 3-2 настоящей статьи, а также </w:t>
      </w:r>
      <w:r w:rsidRPr="00F15544">
        <w:rPr>
          <w:rFonts w:ascii="Times New Roman" w:hAnsi="Times New Roman" w:cs="Times New Roman"/>
          <w:sz w:val="24"/>
          <w:szCs w:val="24"/>
        </w:rPr>
        <w:lastRenderedPageBreak/>
        <w:t xml:space="preserve">субъектов инвестиционной деятельности, реализующих инвестиционные проекты в сфере добычи углеводородного сырья):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освобождаются от уплаты налога на имущество организаций, созданного и (или) приобретенного, а также введенного в эксплуатацию в рамках реализации инвестиционных проектов, в размере 50 процентов от суммы налога, зачисляемой в областной бюджет.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Льгота по налогу на имущество организаций предоставляется на срок 5 лет, начиная с первого числа месяца, следующего за месяцем ввода в эксплуатацию соответствующего объекта основных средств. Для субъектов инвестиционной деятельности, осуществляющих инвестиционную деятельность в соответствии с инвестиционным проектом, предусматривающим строительство распределительных газовых сетей и сооружений на них, газификацию жилищного фонда, перевод на газ объектов муниципальной собственности и сельского хозяйства, данная льгота предоставляется на срок 10 лет, начиная с первого числа месяца, следующего за месяцем ввода в эксплуатацию соответствующего объекта основных средств.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В случае выбытия объектов основных средств, на которые предоставлялась льгота по налогу на имущество организаций, в течение года с момента ввода их в эксплуатацию ранее предоставленная сумма льготы уплачивается в областной бюджет.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2) Утратил силу. - Закон Томской области от 07.04.2025 N 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3-1. Субъекты инвестиционной деятельности, осуществляющие инвестиционную деятельность в соответствии с инвестиционным проектом в сфере разработки технологий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которые удовлетворяют следующим критериям: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наличие утвержденного субъектом инвестиционной деятельности плана работ по разработке технологии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2) объем планируемых инвестиций в реализацию инвестиционного проекта по разработке технологии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с учетом научно-изыскательных работ и физических работ (в том числе геологоразведочные работы, испытание) составляет не менее 1 млрд рублей;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3) планируемый объем бурения по отложениям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в рамках реализации инвестиционного проекта по разработке технологии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составляет не менее 700 метров (в том числе с отбором керна не менее 200 метров) и испытанием объектов с целью подтверждения геологического строения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4) наличие опыта разработки палеозойских отложений в пределах территории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уплачивают за период реализации инвестиционного проекта налог на имущество организаций в размере 75 процентов от исчисленной по ставке, предусмотренной частью 1 статьи 3 Закона Томской области от 27 ноября 2003 года N 148-ОЗ "О налоге на имущество организаций", суммы налога на имущество организаций, за исключением объектов имущества, подлежащих налогообложению по иным ставкам, установленным федеральным и региональным законодательством.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Сумма высвобождающихся от уплаты налога средств за период реализации инвестиционного проекта не может превышать 90 процентов средств, вложенных в проведение научно-исследовательской работы (либо отдельные этапы работы) в рамках </w:t>
      </w:r>
      <w:r w:rsidRPr="00F15544">
        <w:rPr>
          <w:rFonts w:ascii="Times New Roman" w:hAnsi="Times New Roman" w:cs="Times New Roman"/>
          <w:sz w:val="24"/>
          <w:szCs w:val="24"/>
        </w:rPr>
        <w:lastRenderedPageBreak/>
        <w:t xml:space="preserve">указанного в настоящей части проекта, но не более 220 млн рублей за период реализации инвестиционного проекта.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3-2. Субъекты инвестиционной деятельности, осуществляющие инвестиционную деятельность в соответствии с инвестиционным проектом и являющиеся резидентами промышленного парка в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освобождаются от уплаты налога на имущество организаций, созданного и (или) приобретенного, а также введенного в эксплуатацию в рамках реализации инвестиционных проектов на территории промышленного парка, в размере 50 процентов от суммы налога, зачисляемой в областной бюджет.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Льгота по налогу на имущество организаций предоставляется на срок 5 лет, начиная с первого числа месяца, следующего за месяцем ввода в эксплуатацию соответствующего объекта основных средств.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В случае выбытия объектов основных средств, на которые предоставлялась льгота по налогу на имущество организаций, в течение года с момента ввода их в эксплуатацию ранее предоставленная сумма льготы уплачивается в областной бюджет.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2) Утратил силу. - Закон Томской области от 07.04.2025 N 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4. Субъектам инвестиционной деятельности предоставляются иные дополнительные налоговые льготы, установленные законодательством Российской Федерации о налогах и сборах и законами Томской области о налогах.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5. Положения, установленные пунктом 3 настоящей статьи, не распространяются на субъектов инвестиционной деятельности, осуществляющих следующие виды экономической деятельности: финансовую и страховую; профессиональную, научную и техническую (в части консультирования); операции с недвижимым имуществом (в части деятельности агентств недвижимости за вознаграждение или на договорной основе); торговлю оптовую и розничную.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6. Утратил силу. - Закон Томской области от 12.07.2023 N 55-ОЗ.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7. Дополнительные налоговые льготы, предоставляемые субъектам инвестиционной деятельности в соответствии с настоящим Законом, не могут использоваться в целях недобросовестной конкуренции при экспорте товаров, работ и услуг.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8. Размер льготы по налогу на имущество организаций для субъектов инвестиционной деятельности, реализующих инвестиционные проекты в сфере добычи углеводородного сырья, не может превышать сумму превышения фактически уплаченных налогоплательщиком налоговых платежей (в пределах исчисленных сумм) в консолидированный бюджет Томской области в текущем налоговом периоде над суммой фактически уплаченных им налоговых платежей (в пределах исчисленных сумм) в консолидированный бюджет Томской области в предыдущем налоговом периоде, увеличенной на коэффициент, равный совокупному темпу роста налогов, заложенных при формировании областного бюджета на очередной финансовый год.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Абзацы второй - третий утратили силу. - Закон Томской области от 07.04.2025 N 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Коэффициент, равный совокупному темпу роста налогов на очередной финансовый год и на плановый период, утверждается постановлением Правительства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Дополнительная льгота по налогу на имущество организаций предоставляется в отношении организаций, реализующих инвестиционные проекты в сфере добычи углеводородного сырья, исчисливших и уплативших налоговые платежи в консолидированный бюджет Томской области в предыдущем налоговом периоде. В целях настоящего Закона под предыдущим налоговым периодом понимается налоговый период, предшествующий текущему налоговому периоду.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Абзацы шестой - восьмой утратили силу. - Закон Томской области от 07.04.2025 N 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lastRenderedPageBreak/>
        <w:t xml:space="preserve">При исчислении налога на имущество организаций субъекты инвестиционной деятельности, реализующие инвестиционные проекты в сфере добычи углеводородного сырья, освобождаются от уплаты налога на имущество организаций, созданного и (или) приобретенного, введенного в эксплуатацию в рамках реализации инвестиционных проектов, в размере 50 процентов от суммы налога, зачисляемой в областной бюджет, по итогам налогового периода.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F15544" w:rsidRPr="00F15544" w:rsidTr="00F15544">
        <w:trPr>
          <w:tblCellSpacing w:w="15" w:type="dxa"/>
        </w:trPr>
        <w:tc>
          <w:tcPr>
            <w:tcW w:w="0" w:type="auto"/>
            <w:shd w:val="clear" w:color="auto" w:fill="F4F3F8"/>
            <w:vAlign w:val="center"/>
            <w:hideMark/>
          </w:tcPr>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Положения </w:t>
            </w:r>
            <w:proofErr w:type="spellStart"/>
            <w:r w:rsidRPr="00F15544">
              <w:rPr>
                <w:rFonts w:ascii="Times New Roman" w:hAnsi="Times New Roman" w:cs="Times New Roman"/>
                <w:sz w:val="24"/>
                <w:szCs w:val="24"/>
              </w:rPr>
              <w:t>абз</w:t>
            </w:r>
            <w:proofErr w:type="spellEnd"/>
            <w:r w:rsidRPr="00F15544">
              <w:rPr>
                <w:rFonts w:ascii="Times New Roman" w:hAnsi="Times New Roman" w:cs="Times New Roman"/>
                <w:sz w:val="24"/>
                <w:szCs w:val="24"/>
              </w:rPr>
              <w:t xml:space="preserve">. 10 п. 8 ст. 2 (в редакции Закона Томской области от 26.12.2025 N 151-ОЗ) применяются к правоотношениям по предоставлению государственной поддержки в форме дополнительных налоговых льгот организациям, осуществляющим инвестиционную деятельность на территории Томской области, по заявлениям субъектов инвестиционной деятельности, поступившим после дня вступления в силу указанного Закона. </w:t>
            </w:r>
          </w:p>
        </w:tc>
      </w:tr>
    </w:tbl>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Указанная в настоящем пункте льгота по налогу на имущество организаций предоставляется на срок 5 лет, начиная с первого числа месяца, следующего за месяцем ввода в эксплуатацию объекта основных средств, только в отношении объектов, вводимых в эксплуатацию после заключения инвестиционного соглашения о реализации инвестиционного проекта между Правительством Томской области и субъектом инвестиционной деятельности.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В случае выбытия объектов основных средств, на которые предоставлялась льгота, в течение года с момента ввода их в эксплуатацию ранее предоставленная сумма льготы уплачивается в областной бюджет.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9. Положения пункта 8 настоящей статьи не применяются в рамках реализации инвестиционных проектов в сфере разработки технологий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10. В случае наличия у субъекта инвестиционной деятельности права на применение пониженных налоговых ставок по налогу на имущество организаций в части, подлежащей зачислению в областной бюджет, предусмотренных настоящим Законом и (или) иными законами Томской области, субъект инвестиционной деятельности использует одно из указанных прав по своему выбору.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Использование субъектом инвестиционной деятельности указанного в абзаце первом настоящего пункта права в рамках реализации одного инвестиционного проекта не ограничивает его в использовании соответствующего права в рамках реализации других инвестиционных проектов.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Абзац утратил силу. - Закон Томской области от 07.04.2025 N 31-ОЗ.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b/>
          <w:bCs/>
          <w:sz w:val="24"/>
          <w:szCs w:val="24"/>
        </w:rPr>
        <w:t>Статья 3. Порядок, условия и основания предоставления налоговых льгот</w:t>
      </w: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Порядок, условия и основания предоставления налоговых льгот, установленных настоящим Законом, регламентируются Законом Томской области от 10 ноября 2025 года N 106-ОЗ "Об инвестиционной политике и государственной поддержке инвестиционной деятельности в Томской области", законодательством Российской Федерации о налогах и сборах, законами Томской области о налогах, принимаемыми в соответствии с ними постановлениями Правительства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2 - 3. Утратили силу. - Закон Томской области от 08.12.2020 N 153-ОЗ.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4. Для льготного налогообложения, предусмотренного пунктами 3, 3-2, 8 статьи 2 настоящего Закона, субъекту инвестиционной деятельности необходимо представить в </w:t>
      </w:r>
      <w:r w:rsidRPr="00F15544">
        <w:rPr>
          <w:rFonts w:ascii="Times New Roman" w:hAnsi="Times New Roman" w:cs="Times New Roman"/>
          <w:sz w:val="24"/>
          <w:szCs w:val="24"/>
        </w:rPr>
        <w:lastRenderedPageBreak/>
        <w:t xml:space="preserve">налоговые органы по месту постановки на учет организации в сроки предоставления налоговой отчетности копию действующего инвестиционного соглашения о реализации инвестиционного проекта, заключенного между Правительством Томской области и субъектом инвестиционной деятельности.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5. Для льготного налогообложения, предусмотренного пунктом 3-1 статьи 2 настоящего Закона, субъекты инвестиционной деятельности обязаны представить в налоговый орган по месту постановки на учет организации: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копию действующего инвестиционного соглашения о реализации инвестиционного проекта, заключенного между Правительством Томской области и субъектом инвестиционной деятельности;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ежегодно, одновременно с налоговой декларацией, заключение Комиссии по организации взаимодействия и координации деятельности исполнительных органов Томской области и территориальных органов федеральных органов исполнительной власти в сфере недропользования, положение о которой утверждено правовым актом Губернатора Томской области, о соответствии вложенных средств целям проведения научно-исследовательской работы (либо отдельных этапов) по разработке технологии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и отчет о средствах, вложенных в течение отчетного (налогового) периода в проведение научно-исследовательской работы (либо отдельных этапов) проекта по разработке технологии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6. Порядок предоставления государственной поддержки в форме дополнительных налоговых льгот субъектам инвестиционной деятельности и критерии отбора субъектов инвестиционной деятельности, имеющих право на получение дополнительных налоговых льгот в соответствии с пунктами 3, 3-2, 8 статьи 2 настоящего Закона, определяется постановлением Правительства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7. Порядок предоставления государственной поддержки в форме дополнительных налоговых льгот субъектам инвестиционной деятельности, осуществляющим инвестиционную деятельность в сфере разработки технологий поиска и разведки потенциально продуктивных объектов в отложениях </w:t>
      </w:r>
      <w:proofErr w:type="spellStart"/>
      <w:r w:rsidRPr="00F15544">
        <w:rPr>
          <w:rFonts w:ascii="Times New Roman" w:hAnsi="Times New Roman" w:cs="Times New Roman"/>
          <w:sz w:val="24"/>
          <w:szCs w:val="24"/>
        </w:rPr>
        <w:t>доюрского</w:t>
      </w:r>
      <w:proofErr w:type="spellEnd"/>
      <w:r w:rsidRPr="00F15544">
        <w:rPr>
          <w:rFonts w:ascii="Times New Roman" w:hAnsi="Times New Roman" w:cs="Times New Roman"/>
          <w:sz w:val="24"/>
          <w:szCs w:val="24"/>
        </w:rPr>
        <w:t xml:space="preserve"> комплекса Томской области и которые удовлетворяют критериям, указанным в пункте 3-1 статьи 2 настоящего Закона, определяется постановлением Правительства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b/>
          <w:bCs/>
          <w:sz w:val="24"/>
          <w:szCs w:val="24"/>
        </w:rPr>
        <w:t>Статья 4. Прекращение предоставления налоговых льгот</w:t>
      </w: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 Решение о прекращении предоставления налоговых льгот, предусмотренных статьей 2 настоящего Закона, принимается в порядке, определенном постановлением Правительства Томской области.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F15544" w:rsidRPr="00F15544" w:rsidTr="00F15544">
        <w:trPr>
          <w:tblCellSpacing w:w="15" w:type="dxa"/>
        </w:trPr>
        <w:tc>
          <w:tcPr>
            <w:tcW w:w="0" w:type="auto"/>
            <w:shd w:val="clear" w:color="auto" w:fill="F4F3F8"/>
            <w:vAlign w:val="center"/>
            <w:hideMark/>
          </w:tcPr>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Положения п. 2 ст. 4 (в редакции Закона Томской области от 26.12.2025 N 151-ОЗ) применяются к правоотношениям по предоставлению государственной поддержки в форме дополнительных налоговых льгот организациям, осуществляющим инвестиционную деятельность на территории Томской области, по заявлениям субъектов инвестиционной деятельности, поступившим после дня вступления в силу указанного Закона. </w:t>
            </w:r>
          </w:p>
        </w:tc>
      </w:tr>
    </w:tbl>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2. В случае прекращения государственной поддержки инвестиционной деятельности по основаниям, указанным в пунктах 2 - 5 статьи 13 Закона Томской области от 10 ноября 2025 </w:t>
      </w:r>
      <w:r w:rsidRPr="00F15544">
        <w:rPr>
          <w:rFonts w:ascii="Times New Roman" w:hAnsi="Times New Roman" w:cs="Times New Roman"/>
          <w:sz w:val="24"/>
          <w:szCs w:val="24"/>
        </w:rPr>
        <w:lastRenderedPageBreak/>
        <w:t xml:space="preserve">года N 106-ОЗ "Об инвестиционной политике и государственной поддержке инвестиционной деятельности в Томской области", сумма налога подлежит исчислению и уплате субъектом инвестиционной деятельности в областной бюджет. Исчисление налога производится субъектом инвестиционной деятельности без учета применения налоговой льготы, предусмотренной настоящим Законом, за весь период ее применения. Исчисленная сумма налога подлежит уплате субъектом инвестиционной деятельности по истечении отчетного или налогового периода, в котором инвестиционное соглашение было расторгнуто, не позднее сроков, установленных для уплаты авансовых платежей по налогу за отчетный период или налога за налоговый период.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w:t>
      </w:r>
    </w:p>
    <w:tbl>
      <w:tblPr>
        <w:tblW w:w="5000" w:type="pct"/>
        <w:tblCellSpacing w:w="15" w:type="dxa"/>
        <w:tblBorders>
          <w:left w:val="single" w:sz="24" w:space="0" w:color="CED3F1"/>
        </w:tblBorders>
        <w:shd w:val="clear" w:color="auto" w:fill="F4F3F8"/>
        <w:tblCellMar>
          <w:top w:w="132" w:type="dxa"/>
          <w:left w:w="210" w:type="dxa"/>
          <w:bottom w:w="180" w:type="dxa"/>
          <w:right w:w="210" w:type="dxa"/>
        </w:tblCellMar>
        <w:tblLook w:val="04A0" w:firstRow="1" w:lastRow="0" w:firstColumn="1" w:lastColumn="0" w:noHBand="0" w:noVBand="1"/>
      </w:tblPr>
      <w:tblGrid>
        <w:gridCol w:w="9325"/>
      </w:tblGrid>
      <w:tr w:rsidR="00F15544" w:rsidRPr="00F15544" w:rsidTr="00F15544">
        <w:trPr>
          <w:tblCellSpacing w:w="15" w:type="dxa"/>
        </w:trPr>
        <w:tc>
          <w:tcPr>
            <w:tcW w:w="0" w:type="auto"/>
            <w:shd w:val="clear" w:color="auto" w:fill="F4F3F8"/>
            <w:vAlign w:val="center"/>
            <w:hideMark/>
          </w:tcPr>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Положения п. 3 ст. 4 (в редакции Закона Томской области от 26.12.2025 N 151-ОЗ) применяются к правоотношениям по предоставлению государственной поддержки в форме дополнительных налоговых льгот организациям, осуществляющим инвестиционную деятельность на территории Томской области, по заявлениям субъектов инвестиционной деятельности, поступившим после дня вступления в силу указанного Закона. </w:t>
            </w:r>
          </w:p>
        </w:tc>
      </w:tr>
    </w:tbl>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3. В случае если субъект инвестиционной деятельности меняет место постановки на налоговый учет в другом субъекте Российской Федерации до истечения трехлетнего срока с момента окончания действия налоговых льгот, предусмотренных статьей 2 настоящего Закона, сумма налога подлежит исчислению и уплате субъектом инвестиционной деятельности в областной бюджет. Исчисление налога производится субъектом инвестиционной деятельности без учета применения налоговой льготы, предусмотренной настоящим Законом, за весь период ее применения. Исчисленная сумма налога подлежит уплате субъектом инвестиционной деятельности по истечении отчетного или налогового периода, в котором субъект изменил место постановки на налоговый учет, не позднее сроков, установленных для уплаты авансовых платежей по налогу за отчетный период или налога за налоговый период.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b/>
          <w:bCs/>
          <w:sz w:val="24"/>
          <w:szCs w:val="24"/>
        </w:rPr>
        <w:t>Статья 5. Вступление в силу настоящего Закона</w:t>
      </w: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Настоящий Закон вступает в силу по истечении 10 дней со дня его официального опубликования. </w:t>
      </w:r>
    </w:p>
    <w:p w:rsidR="00F15544" w:rsidRPr="00F15544" w:rsidRDefault="00F15544" w:rsidP="00F15544">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Глава Администрации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(Губернатор)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Томской области </w:t>
      </w:r>
    </w:p>
    <w:p w:rsidR="00F15544" w:rsidRPr="00F15544" w:rsidRDefault="00F15544" w:rsidP="00F15544">
      <w:pPr>
        <w:spacing w:after="0"/>
        <w:jc w:val="right"/>
        <w:rPr>
          <w:rFonts w:ascii="Times New Roman" w:hAnsi="Times New Roman" w:cs="Times New Roman"/>
          <w:sz w:val="24"/>
          <w:szCs w:val="24"/>
        </w:rPr>
      </w:pPr>
      <w:r w:rsidRPr="00F15544">
        <w:rPr>
          <w:rFonts w:ascii="Times New Roman" w:hAnsi="Times New Roman" w:cs="Times New Roman"/>
          <w:sz w:val="24"/>
          <w:szCs w:val="24"/>
        </w:rPr>
        <w:t xml:space="preserve">В.М.КРЕСС </w:t>
      </w:r>
    </w:p>
    <w:p w:rsidR="00F15544" w:rsidRPr="00F15544" w:rsidRDefault="00F15544" w:rsidP="00C71EDA">
      <w:pPr>
        <w:spacing w:after="0"/>
        <w:jc w:val="both"/>
        <w:rPr>
          <w:rFonts w:ascii="Times New Roman" w:hAnsi="Times New Roman" w:cs="Times New Roman"/>
          <w:sz w:val="24"/>
          <w:szCs w:val="24"/>
        </w:rPr>
      </w:pPr>
      <w:bookmarkStart w:id="0" w:name="_GoBack"/>
      <w:r w:rsidRPr="00F15544">
        <w:rPr>
          <w:rFonts w:ascii="Times New Roman" w:hAnsi="Times New Roman" w:cs="Times New Roman"/>
          <w:sz w:val="24"/>
          <w:szCs w:val="24"/>
        </w:rPr>
        <w:t xml:space="preserve">Томск </w:t>
      </w:r>
    </w:p>
    <w:p w:rsidR="00F15544" w:rsidRPr="00F15544" w:rsidRDefault="00F15544" w:rsidP="00C71EDA">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18 марта 2003 года </w:t>
      </w:r>
    </w:p>
    <w:p w:rsidR="00F15544" w:rsidRPr="00F15544" w:rsidRDefault="00F15544" w:rsidP="00C71EDA">
      <w:pPr>
        <w:spacing w:after="0"/>
        <w:jc w:val="both"/>
        <w:rPr>
          <w:rFonts w:ascii="Times New Roman" w:hAnsi="Times New Roman" w:cs="Times New Roman"/>
          <w:sz w:val="24"/>
          <w:szCs w:val="24"/>
        </w:rPr>
      </w:pPr>
      <w:r w:rsidRPr="00F15544">
        <w:rPr>
          <w:rFonts w:ascii="Times New Roman" w:hAnsi="Times New Roman" w:cs="Times New Roman"/>
          <w:sz w:val="24"/>
          <w:szCs w:val="24"/>
        </w:rPr>
        <w:t xml:space="preserve">N 30-ОЗ </w:t>
      </w:r>
    </w:p>
    <w:bookmarkEnd w:id="0"/>
    <w:p w:rsidR="00CC43E3" w:rsidRPr="00F15544" w:rsidRDefault="00CC43E3" w:rsidP="00F15544">
      <w:pPr>
        <w:spacing w:after="0"/>
        <w:jc w:val="both"/>
        <w:rPr>
          <w:rFonts w:ascii="Times New Roman" w:hAnsi="Times New Roman" w:cs="Times New Roman"/>
          <w:sz w:val="24"/>
          <w:szCs w:val="24"/>
        </w:rPr>
      </w:pPr>
    </w:p>
    <w:sectPr w:rsidR="00CC43E3" w:rsidRPr="00F155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544"/>
    <w:rsid w:val="00C71EDA"/>
    <w:rsid w:val="00CC43E3"/>
    <w:rsid w:val="00F155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BEB3A-EE87-49BB-84BF-32CD354D3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2852268">
      <w:bodyDiv w:val="1"/>
      <w:marLeft w:val="0"/>
      <w:marRight w:val="0"/>
      <w:marTop w:val="0"/>
      <w:marBottom w:val="0"/>
      <w:divBdr>
        <w:top w:val="none" w:sz="0" w:space="0" w:color="auto"/>
        <w:left w:val="none" w:sz="0" w:space="0" w:color="auto"/>
        <w:bottom w:val="none" w:sz="0" w:space="0" w:color="auto"/>
        <w:right w:val="none" w:sz="0" w:space="0" w:color="auto"/>
      </w:divBdr>
      <w:divsChild>
        <w:div w:id="143744978">
          <w:marLeft w:val="0"/>
          <w:marRight w:val="0"/>
          <w:marTop w:val="0"/>
          <w:marBottom w:val="0"/>
          <w:divBdr>
            <w:top w:val="none" w:sz="0" w:space="0" w:color="auto"/>
            <w:left w:val="none" w:sz="0" w:space="0" w:color="auto"/>
            <w:bottom w:val="none" w:sz="0" w:space="0" w:color="auto"/>
            <w:right w:val="none" w:sz="0" w:space="0" w:color="auto"/>
          </w:divBdr>
        </w:div>
        <w:div w:id="1795177350">
          <w:marLeft w:val="0"/>
          <w:marRight w:val="0"/>
          <w:marTop w:val="0"/>
          <w:marBottom w:val="0"/>
          <w:divBdr>
            <w:top w:val="none" w:sz="0" w:space="0" w:color="auto"/>
            <w:left w:val="none" w:sz="0" w:space="0" w:color="auto"/>
            <w:bottom w:val="none" w:sz="0" w:space="0" w:color="auto"/>
            <w:right w:val="none" w:sz="0" w:space="0" w:color="auto"/>
          </w:divBdr>
        </w:div>
        <w:div w:id="1518084732">
          <w:marLeft w:val="0"/>
          <w:marRight w:val="0"/>
          <w:marTop w:val="0"/>
          <w:marBottom w:val="0"/>
          <w:divBdr>
            <w:top w:val="none" w:sz="0" w:space="0" w:color="auto"/>
            <w:left w:val="none" w:sz="0" w:space="0" w:color="auto"/>
            <w:bottom w:val="none" w:sz="0" w:space="0" w:color="auto"/>
            <w:right w:val="none" w:sz="0" w:space="0" w:color="auto"/>
          </w:divBdr>
        </w:div>
        <w:div w:id="53858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2569</Words>
  <Characters>14645</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Останин Вячеслав Александрович</dc:creator>
  <cp:keywords/>
  <dc:description/>
  <cp:lastModifiedBy>Останин Вячеслав Александрович</cp:lastModifiedBy>
  <cp:revision>3</cp:revision>
  <dcterms:created xsi:type="dcterms:W3CDTF">2026-08-26T09:08:00Z</dcterms:created>
  <dcterms:modified xsi:type="dcterms:W3CDTF">2026-08-28T03:04:00Z</dcterms:modified>
</cp:coreProperties>
</file>